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E15B" w14:textId="67F8B683" w:rsidR="006116F6" w:rsidRDefault="006469DB" w:rsidP="7DF33AF4">
      <w:pPr>
        <w:jc w:val="center"/>
        <w:rPr>
          <w:b/>
          <w:bCs/>
        </w:rPr>
      </w:pPr>
      <w:r>
        <w:rPr>
          <w:noProof/>
        </w:rPr>
        <mc:AlternateContent>
          <mc:Choice Requires="wps">
            <w:drawing>
              <wp:anchor distT="0" distB="0" distL="114300" distR="114300" simplePos="0" relativeHeight="251659264" behindDoc="0" locked="0" layoutInCell="1" allowOverlap="1" wp14:anchorId="10865422" wp14:editId="0B5E3712">
                <wp:simplePos x="0" y="0"/>
                <wp:positionH relativeFrom="column">
                  <wp:posOffset>86360</wp:posOffset>
                </wp:positionH>
                <wp:positionV relativeFrom="paragraph">
                  <wp:posOffset>1123950</wp:posOffset>
                </wp:positionV>
                <wp:extent cx="5753100" cy="361950"/>
                <wp:effectExtent l="0" t="0" r="0" b="0"/>
                <wp:wrapNone/>
                <wp:docPr id="2" name="Rectangle 2"/>
                <wp:cNvGraphicFramePr/>
                <a:graphic xmlns:a="http://schemas.openxmlformats.org/drawingml/2006/main">
                  <a:graphicData uri="http://schemas.microsoft.com/office/word/2010/wordprocessingShape">
                    <wps:wsp>
                      <wps:cNvSpPr/>
                      <wps:spPr>
                        <a:xfrm>
                          <a:off x="0" y="0"/>
                          <a:ext cx="5753100" cy="3619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27CF7" w14:textId="77777777" w:rsidR="006469DB" w:rsidRPr="007503A6" w:rsidRDefault="006469DB" w:rsidP="006469DB">
                            <w:pPr>
                              <w:jc w:val="center"/>
                              <w:rPr>
                                <w:rFonts w:ascii="Book Antiqua" w:hAnsi="Book Antiqua"/>
                                <w:sz w:val="27"/>
                                <w:szCs w:val="27"/>
                              </w:rPr>
                            </w:pPr>
                            <w:r w:rsidRPr="007503A6">
                              <w:rPr>
                                <w:rStyle w:val="normaltextrun"/>
                                <w:rFonts w:ascii="Book Antiqua" w:hAnsi="Book Antiqua" w:cstheme="minorHAnsi"/>
                                <w:sz w:val="27"/>
                                <w:szCs w:val="27"/>
                              </w:rPr>
                              <w:t xml:space="preserve">New Zealand Population Review - </w:t>
                            </w:r>
                            <w:proofErr w:type="spellStart"/>
                            <w:r w:rsidRPr="007503A6">
                              <w:rPr>
                                <w:rStyle w:val="normaltextrun"/>
                                <w:rFonts w:ascii="Book Antiqua" w:hAnsi="Book Antiqua" w:cstheme="minorHAnsi"/>
                                <w:sz w:val="27"/>
                                <w:szCs w:val="27"/>
                              </w:rPr>
                              <w:t>Te</w:t>
                            </w:r>
                            <w:proofErr w:type="spellEnd"/>
                            <w:r w:rsidRPr="007503A6">
                              <w:rPr>
                                <w:rStyle w:val="normaltextrun"/>
                                <w:rFonts w:ascii="Book Antiqua" w:hAnsi="Book Antiqua" w:cstheme="minorHAnsi"/>
                                <w:sz w:val="27"/>
                                <w:szCs w:val="27"/>
                              </w:rPr>
                              <w:t xml:space="preserve"> </w:t>
                            </w:r>
                            <w:proofErr w:type="spellStart"/>
                            <w:r w:rsidRPr="007503A6">
                              <w:rPr>
                                <w:rStyle w:val="normaltextrun"/>
                                <w:rFonts w:ascii="Book Antiqua" w:hAnsi="Book Antiqua" w:cstheme="minorHAnsi"/>
                                <w:sz w:val="27"/>
                                <w:szCs w:val="27"/>
                              </w:rPr>
                              <w:t>Arotake</w:t>
                            </w:r>
                            <w:proofErr w:type="spellEnd"/>
                            <w:r w:rsidRPr="007503A6">
                              <w:rPr>
                                <w:rStyle w:val="normaltextrun"/>
                                <w:rFonts w:ascii="Book Antiqua" w:hAnsi="Book Antiqua" w:cstheme="minorHAnsi"/>
                                <w:sz w:val="27"/>
                                <w:szCs w:val="27"/>
                              </w:rPr>
                              <w:t xml:space="preserve"> o </w:t>
                            </w:r>
                            <w:proofErr w:type="spellStart"/>
                            <w:r w:rsidRPr="007503A6">
                              <w:rPr>
                                <w:rStyle w:val="normaltextrun"/>
                                <w:rFonts w:ascii="Book Antiqua" w:hAnsi="Book Antiqua" w:cstheme="minorHAnsi"/>
                                <w:sz w:val="27"/>
                                <w:szCs w:val="27"/>
                              </w:rPr>
                              <w:t>te</w:t>
                            </w:r>
                            <w:proofErr w:type="spellEnd"/>
                            <w:r w:rsidRPr="007503A6">
                              <w:rPr>
                                <w:rStyle w:val="normaltextrun"/>
                                <w:rFonts w:ascii="Book Antiqua" w:hAnsi="Book Antiqua" w:cstheme="minorHAnsi"/>
                                <w:sz w:val="27"/>
                                <w:szCs w:val="27"/>
                              </w:rPr>
                              <w:t xml:space="preserve"> </w:t>
                            </w:r>
                            <w:proofErr w:type="spellStart"/>
                            <w:r w:rsidRPr="007503A6">
                              <w:rPr>
                                <w:rStyle w:val="normaltextrun"/>
                                <w:rFonts w:ascii="Book Antiqua" w:hAnsi="Book Antiqua" w:cstheme="minorHAnsi"/>
                                <w:sz w:val="27"/>
                                <w:szCs w:val="27"/>
                              </w:rPr>
                              <w:t>Taupori</w:t>
                            </w:r>
                            <w:proofErr w:type="spellEnd"/>
                            <w:r w:rsidRPr="007503A6">
                              <w:rPr>
                                <w:rStyle w:val="normaltextrun"/>
                                <w:rFonts w:ascii="Book Antiqua" w:hAnsi="Book Antiqua" w:cstheme="minorHAnsi"/>
                                <w:sz w:val="27"/>
                                <w:szCs w:val="27"/>
                              </w:rPr>
                              <w:t xml:space="preserve"> o Aotearoa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65422" id="Rectangle 2" o:spid="_x0000_s1026" style="position:absolute;left:0;text-align:left;margin-left:6.8pt;margin-top:88.5pt;width:45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" fillcolor="#31849b [2408]" stroked="f" strokeweight="2pt">
                <v:textbox>
                  <w:txbxContent>
                    <w:p w14:paraId="55127CF7" w14:textId="77777777" w:rsidR="006469DB" w:rsidRPr="007503A6" w:rsidRDefault="006469DB" w:rsidP="006469DB">
                      <w:pPr>
                        <w:jc w:val="center"/>
                        <w:rPr>
                          <w:rFonts w:ascii="Book Antiqua" w:hAnsi="Book Antiqua"/>
                          <w:sz w:val="27"/>
                          <w:szCs w:val="27"/>
                        </w:rPr>
                      </w:pPr>
                      <w:r w:rsidRPr="007503A6">
                        <w:rPr>
                          <w:rStyle w:val="normaltextrun"/>
                          <w:rFonts w:ascii="Book Antiqua" w:hAnsi="Book Antiqua" w:cstheme="minorHAnsi"/>
                          <w:sz w:val="27"/>
                          <w:szCs w:val="27"/>
                        </w:rPr>
                        <w:t xml:space="preserve">New Zealand Population Review - Te </w:t>
                      </w:r>
                      <w:proofErr w:type="spellStart"/>
                      <w:r w:rsidRPr="007503A6">
                        <w:rPr>
                          <w:rStyle w:val="normaltextrun"/>
                          <w:rFonts w:ascii="Book Antiqua" w:hAnsi="Book Antiqua" w:cstheme="minorHAnsi"/>
                          <w:sz w:val="27"/>
                          <w:szCs w:val="27"/>
                        </w:rPr>
                        <w:t>Arotake</w:t>
                      </w:r>
                      <w:proofErr w:type="spellEnd"/>
                      <w:r w:rsidRPr="007503A6">
                        <w:rPr>
                          <w:rStyle w:val="normaltextrun"/>
                          <w:rFonts w:ascii="Book Antiqua" w:hAnsi="Book Antiqua" w:cstheme="minorHAnsi"/>
                          <w:sz w:val="27"/>
                          <w:szCs w:val="27"/>
                        </w:rPr>
                        <w:t xml:space="preserve"> o </w:t>
                      </w:r>
                      <w:proofErr w:type="spellStart"/>
                      <w:r w:rsidRPr="007503A6">
                        <w:rPr>
                          <w:rStyle w:val="normaltextrun"/>
                          <w:rFonts w:ascii="Book Antiqua" w:hAnsi="Book Antiqua" w:cstheme="minorHAnsi"/>
                          <w:sz w:val="27"/>
                          <w:szCs w:val="27"/>
                        </w:rPr>
                        <w:t>te</w:t>
                      </w:r>
                      <w:proofErr w:type="spellEnd"/>
                      <w:r w:rsidRPr="007503A6">
                        <w:rPr>
                          <w:rStyle w:val="normaltextrun"/>
                          <w:rFonts w:ascii="Book Antiqua" w:hAnsi="Book Antiqua" w:cstheme="minorHAnsi"/>
                          <w:sz w:val="27"/>
                          <w:szCs w:val="27"/>
                        </w:rPr>
                        <w:t xml:space="preserve"> </w:t>
                      </w:r>
                      <w:proofErr w:type="spellStart"/>
                      <w:r w:rsidRPr="007503A6">
                        <w:rPr>
                          <w:rStyle w:val="normaltextrun"/>
                          <w:rFonts w:ascii="Book Antiqua" w:hAnsi="Book Antiqua" w:cstheme="minorHAnsi"/>
                          <w:sz w:val="27"/>
                          <w:szCs w:val="27"/>
                        </w:rPr>
                        <w:t>Taupori</w:t>
                      </w:r>
                      <w:proofErr w:type="spellEnd"/>
                      <w:r w:rsidRPr="007503A6">
                        <w:rPr>
                          <w:rStyle w:val="normaltextrun"/>
                          <w:rFonts w:ascii="Book Antiqua" w:hAnsi="Book Antiqua" w:cstheme="minorHAnsi"/>
                          <w:sz w:val="27"/>
                          <w:szCs w:val="27"/>
                        </w:rPr>
                        <w:t xml:space="preserve"> o Aotearoa</w:t>
                      </w:r>
                    </w:p>
                  </w:txbxContent>
                </v:textbox>
              </v:rect>
            </w:pict>
          </mc:Fallback>
        </mc:AlternateContent>
      </w:r>
      <w:r w:rsidR="006116F6">
        <w:rPr>
          <w:noProof/>
        </w:rPr>
        <w:drawing>
          <wp:inline distT="0" distB="0" distL="0" distR="0" wp14:anchorId="1EA95679" wp14:editId="616716A7">
            <wp:extent cx="5731510" cy="1117010"/>
            <wp:effectExtent l="0" t="0" r="2540" b="698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5"/>
                    <a:stretch>
                      <a:fillRect/>
                    </a:stretch>
                  </pic:blipFill>
                  <pic:spPr>
                    <a:xfrm>
                      <a:off x="0" y="0"/>
                      <a:ext cx="5731510" cy="1117010"/>
                    </a:xfrm>
                    <a:prstGeom prst="rect">
                      <a:avLst/>
                    </a:prstGeom>
                  </pic:spPr>
                </pic:pic>
              </a:graphicData>
            </a:graphic>
          </wp:inline>
        </w:drawing>
      </w:r>
    </w:p>
    <w:p w14:paraId="54B26DD3" w14:textId="51ACBB67" w:rsidR="006116F6" w:rsidRDefault="006116F6" w:rsidP="7DF33AF4">
      <w:pPr>
        <w:jc w:val="center"/>
        <w:rPr>
          <w:b/>
          <w:bCs/>
        </w:rPr>
      </w:pPr>
    </w:p>
    <w:p w14:paraId="6A9E4E49" w14:textId="562E27A0" w:rsidR="004212D4" w:rsidRDefault="004212D4" w:rsidP="7DF33AF4">
      <w:pPr>
        <w:jc w:val="center"/>
        <w:rPr>
          <w:b/>
          <w:bCs/>
        </w:rPr>
      </w:pPr>
    </w:p>
    <w:p w14:paraId="43B30E8D" w14:textId="77777777" w:rsidR="004212D4" w:rsidRDefault="004212D4" w:rsidP="7DF33AF4">
      <w:pPr>
        <w:jc w:val="center"/>
        <w:rPr>
          <w:b/>
          <w:bCs/>
        </w:rPr>
      </w:pPr>
    </w:p>
    <w:p w14:paraId="00000001" w14:textId="67735899" w:rsidR="00982E6A" w:rsidRPr="00584EA6" w:rsidRDefault="7DF33AF4" w:rsidP="00584EA6">
      <w:pPr>
        <w:spacing w:line="360" w:lineRule="auto"/>
        <w:jc w:val="center"/>
        <w:rPr>
          <w:rFonts w:ascii="Century Gothic" w:hAnsi="Century Gothic"/>
          <w:b/>
          <w:bCs/>
          <w:sz w:val="28"/>
          <w:szCs w:val="28"/>
        </w:rPr>
      </w:pPr>
      <w:r w:rsidRPr="00584EA6">
        <w:rPr>
          <w:rFonts w:ascii="Century Gothic" w:hAnsi="Century Gothic"/>
          <w:b/>
          <w:bCs/>
          <w:sz w:val="28"/>
          <w:szCs w:val="28"/>
        </w:rPr>
        <w:t xml:space="preserve">Call for </w:t>
      </w:r>
      <w:proofErr w:type="gramStart"/>
      <w:r w:rsidRPr="00584EA6">
        <w:rPr>
          <w:rFonts w:ascii="Century Gothic" w:hAnsi="Century Gothic"/>
          <w:b/>
          <w:bCs/>
          <w:sz w:val="28"/>
          <w:szCs w:val="28"/>
        </w:rPr>
        <w:t>Abstracts</w:t>
      </w:r>
      <w:proofErr w:type="gramEnd"/>
    </w:p>
    <w:p w14:paraId="4F1AD41A" w14:textId="2254A5E8" w:rsidR="004212D4" w:rsidRPr="00584EA6" w:rsidRDefault="004212D4" w:rsidP="00584EA6">
      <w:pPr>
        <w:spacing w:line="360" w:lineRule="auto"/>
        <w:jc w:val="center"/>
        <w:rPr>
          <w:rFonts w:ascii="Century Gothic" w:hAnsi="Century Gothic"/>
          <w:b/>
          <w:bCs/>
          <w:sz w:val="28"/>
          <w:szCs w:val="28"/>
        </w:rPr>
      </w:pPr>
      <w:r w:rsidRPr="00584EA6">
        <w:rPr>
          <w:rFonts w:ascii="Century Gothic" w:hAnsi="Century Gothic"/>
          <w:b/>
          <w:bCs/>
          <w:sz w:val="28"/>
          <w:szCs w:val="28"/>
        </w:rPr>
        <w:t>Geospatial Techniques in Population Research</w:t>
      </w:r>
    </w:p>
    <w:p w14:paraId="00000002" w14:textId="77777777" w:rsidR="00982E6A" w:rsidRPr="00584EA6" w:rsidRDefault="00982E6A" w:rsidP="00584EA6">
      <w:pPr>
        <w:pStyle w:val="NoSpacing"/>
      </w:pPr>
    </w:p>
    <w:p w14:paraId="00000004" w14:textId="38346FDF" w:rsidR="00982E6A" w:rsidRPr="00584EA6" w:rsidRDefault="00584EA6" w:rsidP="00584EA6">
      <w:pPr>
        <w:spacing w:after="120" w:line="360" w:lineRule="auto"/>
        <w:rPr>
          <w:rFonts w:ascii="Century Gothic" w:hAnsi="Century Gothic"/>
        </w:rPr>
      </w:pPr>
      <w:r w:rsidRPr="00584EA6">
        <w:rPr>
          <w:rFonts w:ascii="Century Gothic" w:hAnsi="Century Gothic"/>
        </w:rPr>
        <w:t xml:space="preserve">We invite submissions for a special issue of </w:t>
      </w:r>
      <w:r w:rsidR="0065153C" w:rsidRPr="00584EA6">
        <w:rPr>
          <w:rFonts w:ascii="Century Gothic" w:hAnsi="Century Gothic"/>
          <w:i/>
          <w:iCs/>
        </w:rPr>
        <w:t xml:space="preserve">New Zealand Population Review - </w:t>
      </w:r>
      <w:proofErr w:type="spellStart"/>
      <w:r w:rsidR="0065153C" w:rsidRPr="00584EA6">
        <w:rPr>
          <w:rFonts w:ascii="Century Gothic" w:hAnsi="Century Gothic"/>
          <w:i/>
          <w:iCs/>
        </w:rPr>
        <w:t>Te</w:t>
      </w:r>
      <w:proofErr w:type="spellEnd"/>
      <w:r w:rsidR="0065153C" w:rsidRPr="00584EA6">
        <w:rPr>
          <w:rFonts w:ascii="Century Gothic" w:hAnsi="Century Gothic"/>
          <w:i/>
          <w:iCs/>
        </w:rPr>
        <w:t xml:space="preserve"> </w:t>
      </w:r>
      <w:proofErr w:type="spellStart"/>
      <w:r w:rsidR="0065153C" w:rsidRPr="00584EA6">
        <w:rPr>
          <w:rFonts w:ascii="Century Gothic" w:hAnsi="Century Gothic"/>
          <w:i/>
          <w:iCs/>
        </w:rPr>
        <w:t>Arotake</w:t>
      </w:r>
      <w:proofErr w:type="spellEnd"/>
      <w:r w:rsidR="0065153C" w:rsidRPr="00584EA6">
        <w:rPr>
          <w:rFonts w:ascii="Century Gothic" w:hAnsi="Century Gothic"/>
          <w:i/>
          <w:iCs/>
        </w:rPr>
        <w:t xml:space="preserve"> o </w:t>
      </w:r>
      <w:proofErr w:type="spellStart"/>
      <w:r w:rsidR="0065153C" w:rsidRPr="00584EA6">
        <w:rPr>
          <w:rFonts w:ascii="Century Gothic" w:hAnsi="Century Gothic"/>
          <w:i/>
          <w:iCs/>
        </w:rPr>
        <w:t>te</w:t>
      </w:r>
      <w:proofErr w:type="spellEnd"/>
      <w:r w:rsidR="0065153C" w:rsidRPr="00584EA6">
        <w:rPr>
          <w:rFonts w:ascii="Century Gothic" w:hAnsi="Century Gothic"/>
          <w:i/>
          <w:iCs/>
        </w:rPr>
        <w:t xml:space="preserve"> </w:t>
      </w:r>
      <w:proofErr w:type="spellStart"/>
      <w:r w:rsidR="0065153C" w:rsidRPr="00584EA6">
        <w:rPr>
          <w:rFonts w:ascii="Century Gothic" w:hAnsi="Century Gothic"/>
          <w:i/>
          <w:iCs/>
        </w:rPr>
        <w:t>Taupori</w:t>
      </w:r>
      <w:proofErr w:type="spellEnd"/>
      <w:r w:rsidR="0065153C" w:rsidRPr="00584EA6">
        <w:rPr>
          <w:rFonts w:ascii="Century Gothic" w:hAnsi="Century Gothic"/>
          <w:i/>
          <w:iCs/>
        </w:rPr>
        <w:t xml:space="preserve"> o Aotearoa</w:t>
      </w:r>
      <w:r w:rsidRPr="00584EA6">
        <w:rPr>
          <w:rFonts w:ascii="Century Gothic" w:hAnsi="Century Gothic"/>
        </w:rPr>
        <w:t xml:space="preserve"> focusing on the use </w:t>
      </w:r>
      <w:r w:rsidRPr="00584EA6">
        <w:rPr>
          <w:rFonts w:ascii="Century Gothic" w:hAnsi="Century Gothic"/>
        </w:rPr>
        <w:t>of geospatial techniques in population research</w:t>
      </w:r>
      <w:r w:rsidRPr="00584EA6">
        <w:rPr>
          <w:rFonts w:ascii="Century Gothic" w:hAnsi="Century Gothic"/>
        </w:rPr>
        <w:t xml:space="preserve">. This special issue seeks to showcase cutting-edge research that explores the intersection of geography and demography, particularly the use of geospatial techniques to better </w:t>
      </w:r>
      <w:r w:rsidRPr="00584EA6">
        <w:rPr>
          <w:rFonts w:ascii="Century Gothic" w:hAnsi="Century Gothic"/>
        </w:rPr>
        <w:t>understand population dynamics.</w:t>
      </w:r>
    </w:p>
    <w:p w14:paraId="00000005" w14:textId="77777777" w:rsidR="00982E6A" w:rsidRPr="00584EA6" w:rsidRDefault="00584EA6" w:rsidP="00584EA6">
      <w:pPr>
        <w:spacing w:before="240" w:after="240" w:line="360" w:lineRule="auto"/>
        <w:rPr>
          <w:rFonts w:ascii="Century Gothic" w:hAnsi="Century Gothic"/>
        </w:rPr>
      </w:pPr>
      <w:r w:rsidRPr="00584EA6">
        <w:rPr>
          <w:rFonts w:ascii="Century Gothic" w:hAnsi="Century Gothic"/>
        </w:rPr>
        <w:t xml:space="preserve">We welcome submissions of original research, methods </w:t>
      </w:r>
      <w:proofErr w:type="gramStart"/>
      <w:r w:rsidRPr="00584EA6">
        <w:rPr>
          <w:rFonts w:ascii="Century Gothic" w:hAnsi="Century Gothic"/>
        </w:rPr>
        <w:t>notes</w:t>
      </w:r>
      <w:proofErr w:type="gramEnd"/>
      <w:r w:rsidRPr="00584EA6">
        <w:rPr>
          <w:rFonts w:ascii="Century Gothic" w:hAnsi="Century Gothic"/>
        </w:rPr>
        <w:t>, reviews, commentaries, and data visualizations that address a wide range of topics related to population research using geospatial techniques. We encourage submissi</w:t>
      </w:r>
      <w:r w:rsidRPr="00584EA6">
        <w:rPr>
          <w:rFonts w:ascii="Century Gothic" w:hAnsi="Century Gothic"/>
        </w:rPr>
        <w:t>ons that address the following themes:</w:t>
      </w:r>
    </w:p>
    <w:p w14:paraId="00000006" w14:textId="77777777" w:rsidR="00982E6A" w:rsidRPr="00584EA6" w:rsidRDefault="00584EA6" w:rsidP="00584EA6">
      <w:pPr>
        <w:numPr>
          <w:ilvl w:val="0"/>
          <w:numId w:val="1"/>
        </w:numPr>
        <w:spacing w:before="240" w:line="360" w:lineRule="auto"/>
        <w:rPr>
          <w:rFonts w:ascii="Century Gothic" w:hAnsi="Century Gothic"/>
        </w:rPr>
      </w:pPr>
      <w:r w:rsidRPr="00584EA6">
        <w:rPr>
          <w:rFonts w:ascii="Century Gothic" w:hAnsi="Century Gothic"/>
        </w:rPr>
        <w:t>Spatial and temporal analysis of population dynamics.</w:t>
      </w:r>
    </w:p>
    <w:p w14:paraId="00000007" w14:textId="2B9BFF12" w:rsidR="00982E6A" w:rsidRPr="00584EA6" w:rsidRDefault="69897035" w:rsidP="00584EA6">
      <w:pPr>
        <w:numPr>
          <w:ilvl w:val="0"/>
          <w:numId w:val="1"/>
        </w:numPr>
        <w:spacing w:line="360" w:lineRule="auto"/>
        <w:rPr>
          <w:rFonts w:ascii="Century Gothic" w:hAnsi="Century Gothic"/>
        </w:rPr>
      </w:pPr>
      <w:r w:rsidRPr="00584EA6">
        <w:rPr>
          <w:rFonts w:ascii="Century Gothic" w:hAnsi="Century Gothic"/>
        </w:rPr>
        <w:t xml:space="preserve">Māori, Pacific, and </w:t>
      </w:r>
      <w:r w:rsidR="7DF33AF4" w:rsidRPr="00584EA6">
        <w:rPr>
          <w:rFonts w:ascii="Century Gothic" w:hAnsi="Century Gothic"/>
        </w:rPr>
        <w:t>Indigenous cartography, critical GIS, counter-mapping, post- and de-colonial mapping, and Indigenous-led geospatial analyses.</w:t>
      </w:r>
    </w:p>
    <w:p w14:paraId="1ECBC78A" w14:textId="18920FE7" w:rsidR="00982E6A" w:rsidRPr="00584EA6" w:rsidRDefault="6E43B8FB" w:rsidP="00584EA6">
      <w:pPr>
        <w:numPr>
          <w:ilvl w:val="0"/>
          <w:numId w:val="1"/>
        </w:numPr>
        <w:spacing w:line="360" w:lineRule="auto"/>
        <w:rPr>
          <w:rFonts w:ascii="Century Gothic" w:hAnsi="Century Gothic"/>
        </w:rPr>
      </w:pPr>
      <w:r w:rsidRPr="00584EA6">
        <w:rPr>
          <w:rFonts w:ascii="Century Gothic" w:hAnsi="Century Gothic"/>
        </w:rPr>
        <w:t xml:space="preserve">Novel applications of geospatial techniques to understand migration and mobility. </w:t>
      </w:r>
    </w:p>
    <w:p w14:paraId="00000008" w14:textId="4A9BB8B8" w:rsidR="00982E6A" w:rsidRPr="00584EA6" w:rsidRDefault="7DF33AF4" w:rsidP="00584EA6">
      <w:pPr>
        <w:numPr>
          <w:ilvl w:val="0"/>
          <w:numId w:val="1"/>
        </w:numPr>
        <w:spacing w:line="360" w:lineRule="auto"/>
        <w:rPr>
          <w:rFonts w:ascii="Century Gothic" w:hAnsi="Century Gothic"/>
        </w:rPr>
      </w:pPr>
      <w:r w:rsidRPr="00584EA6">
        <w:rPr>
          <w:rFonts w:ascii="Century Gothic" w:hAnsi="Century Gothic"/>
        </w:rPr>
        <w:t>Critical examinations of the challenges and limitations of geospatial techniques in population research, and a focus on the innovative solutions that can be used to overcome them.</w:t>
      </w:r>
    </w:p>
    <w:p w14:paraId="788A3328" w14:textId="366E997E" w:rsidR="122EC6DF" w:rsidRPr="00584EA6" w:rsidRDefault="122EC6DF" w:rsidP="00584EA6">
      <w:pPr>
        <w:numPr>
          <w:ilvl w:val="0"/>
          <w:numId w:val="1"/>
        </w:numPr>
        <w:spacing w:line="360" w:lineRule="auto"/>
        <w:rPr>
          <w:rFonts w:ascii="Century Gothic" w:hAnsi="Century Gothic"/>
        </w:rPr>
      </w:pPr>
      <w:r w:rsidRPr="00584EA6">
        <w:rPr>
          <w:rFonts w:ascii="Century Gothic" w:hAnsi="Century Gothic"/>
        </w:rPr>
        <w:t>Geospatial approaches to strengths-based community research</w:t>
      </w:r>
    </w:p>
    <w:p w14:paraId="00000009" w14:textId="77777777" w:rsidR="00982E6A" w:rsidRPr="00584EA6" w:rsidRDefault="7DF33AF4" w:rsidP="00584EA6">
      <w:pPr>
        <w:numPr>
          <w:ilvl w:val="0"/>
          <w:numId w:val="1"/>
        </w:numPr>
        <w:spacing w:line="360" w:lineRule="auto"/>
        <w:rPr>
          <w:rFonts w:ascii="Century Gothic" w:hAnsi="Century Gothic"/>
        </w:rPr>
      </w:pPr>
      <w:r w:rsidRPr="00584EA6">
        <w:rPr>
          <w:rFonts w:ascii="Century Gothic" w:hAnsi="Century Gothic"/>
        </w:rPr>
        <w:t>Spatial analysis of social and economic inequality and inequity.</w:t>
      </w:r>
    </w:p>
    <w:p w14:paraId="0000000B" w14:textId="77777777" w:rsidR="00982E6A" w:rsidRPr="00584EA6" w:rsidRDefault="7DF33AF4" w:rsidP="00584EA6">
      <w:pPr>
        <w:numPr>
          <w:ilvl w:val="0"/>
          <w:numId w:val="1"/>
        </w:numPr>
        <w:spacing w:line="360" w:lineRule="auto"/>
        <w:rPr>
          <w:rFonts w:ascii="Century Gothic" w:hAnsi="Century Gothic"/>
        </w:rPr>
      </w:pPr>
      <w:r w:rsidRPr="00584EA6">
        <w:rPr>
          <w:rFonts w:ascii="Century Gothic" w:hAnsi="Century Gothic"/>
        </w:rPr>
        <w:t>The use of geospatial data and techniques in planning and policy.</w:t>
      </w:r>
    </w:p>
    <w:p w14:paraId="0000000D" w14:textId="64FD79AF" w:rsidR="00982E6A" w:rsidRPr="00584EA6" w:rsidRDefault="7DF33AF4" w:rsidP="00584EA6">
      <w:pPr>
        <w:numPr>
          <w:ilvl w:val="0"/>
          <w:numId w:val="1"/>
        </w:numPr>
        <w:spacing w:line="360" w:lineRule="auto"/>
        <w:rPr>
          <w:rFonts w:ascii="Century Gothic" w:hAnsi="Century Gothic"/>
        </w:rPr>
      </w:pPr>
      <w:r w:rsidRPr="00584EA6">
        <w:rPr>
          <w:rFonts w:ascii="Century Gothic" w:hAnsi="Century Gothic"/>
        </w:rPr>
        <w:t>Geospatial analysis of health outcomes, disparities and inequities and how geospatial techniques can help tackle such major public health challenges.</w:t>
      </w:r>
    </w:p>
    <w:p w14:paraId="0000000E" w14:textId="77777777" w:rsidR="00982E6A" w:rsidRPr="00584EA6" w:rsidRDefault="00584EA6" w:rsidP="00584EA6">
      <w:pPr>
        <w:spacing w:before="240" w:after="240" w:line="360" w:lineRule="auto"/>
        <w:rPr>
          <w:rFonts w:ascii="Century Gothic" w:hAnsi="Century Gothic"/>
        </w:rPr>
      </w:pPr>
      <w:r w:rsidRPr="00584EA6">
        <w:rPr>
          <w:rFonts w:ascii="Century Gothic" w:hAnsi="Century Gothic"/>
        </w:rPr>
        <w:lastRenderedPageBreak/>
        <w:t xml:space="preserve">We particularly encourage submissions from early career researchers, Māori, Pacific, and Indigenous researchers. </w:t>
      </w:r>
    </w:p>
    <w:p w14:paraId="0000000F" w14:textId="6529A176" w:rsidR="00982E6A" w:rsidRPr="00584EA6" w:rsidRDefault="56CCA232" w:rsidP="00584EA6">
      <w:pPr>
        <w:spacing w:before="240" w:after="240" w:line="360" w:lineRule="auto"/>
        <w:rPr>
          <w:rFonts w:ascii="Century Gothic" w:hAnsi="Century Gothic"/>
        </w:rPr>
      </w:pPr>
      <w:r w:rsidRPr="00584EA6">
        <w:rPr>
          <w:rFonts w:ascii="Century Gothic" w:hAnsi="Century Gothic"/>
        </w:rPr>
        <w:t>Full s</w:t>
      </w:r>
      <w:r w:rsidR="7DF33AF4" w:rsidRPr="00584EA6">
        <w:rPr>
          <w:rFonts w:ascii="Century Gothic" w:hAnsi="Century Gothic"/>
        </w:rPr>
        <w:t>ubmissions will be peer-reviewed and selected for publication based on their quality, originality, and relevance to the theme of the special issue. All manuscripts must conform to the guidelines of New Zealand Population Review, which can be found on the journal's website</w:t>
      </w:r>
      <w:r w:rsidR="006116F6" w:rsidRPr="00584EA6">
        <w:rPr>
          <w:rFonts w:ascii="Century Gothic" w:hAnsi="Century Gothic"/>
        </w:rPr>
        <w:t>:</w:t>
      </w:r>
      <w:r w:rsidR="7DF33AF4" w:rsidRPr="00584EA6">
        <w:rPr>
          <w:rFonts w:ascii="Century Gothic" w:hAnsi="Century Gothic"/>
        </w:rPr>
        <w:t xml:space="preserve"> </w:t>
      </w:r>
      <w:hyperlink r:id="rId6" w:history="1">
        <w:r w:rsidR="006116F6" w:rsidRPr="00584EA6">
          <w:rPr>
            <w:rStyle w:val="Hyperlink"/>
            <w:rFonts w:ascii="Century Gothic" w:hAnsi="Century Gothic"/>
          </w:rPr>
          <w:t>https://population.org.nz/contributor-instructions/</w:t>
        </w:r>
      </w:hyperlink>
    </w:p>
    <w:p w14:paraId="00000010" w14:textId="77777777" w:rsidR="00982E6A" w:rsidRPr="00584EA6" w:rsidRDefault="00584EA6" w:rsidP="00584EA6">
      <w:pPr>
        <w:spacing w:before="240" w:after="240" w:line="360" w:lineRule="auto"/>
        <w:rPr>
          <w:rFonts w:ascii="Century Gothic" w:hAnsi="Century Gothic"/>
        </w:rPr>
      </w:pPr>
      <w:r w:rsidRPr="00584EA6">
        <w:rPr>
          <w:rFonts w:ascii="Century Gothic" w:hAnsi="Century Gothic"/>
        </w:rPr>
        <w:t>Important Dates:</w:t>
      </w:r>
    </w:p>
    <w:p w14:paraId="00000011" w14:textId="7298D452" w:rsidR="00982E6A" w:rsidRPr="00584EA6" w:rsidRDefault="7DF33AF4" w:rsidP="00584EA6">
      <w:pPr>
        <w:numPr>
          <w:ilvl w:val="0"/>
          <w:numId w:val="2"/>
        </w:numPr>
        <w:spacing w:before="240" w:line="360" w:lineRule="auto"/>
        <w:rPr>
          <w:rFonts w:ascii="Century Gothic" w:hAnsi="Century Gothic"/>
        </w:rPr>
      </w:pPr>
      <w:r w:rsidRPr="00584EA6">
        <w:rPr>
          <w:rFonts w:ascii="Century Gothic" w:hAnsi="Century Gothic"/>
        </w:rPr>
        <w:t>Abstract submission deadline: 31</w:t>
      </w:r>
      <w:r w:rsidRPr="00584EA6">
        <w:rPr>
          <w:rFonts w:ascii="Century Gothic" w:hAnsi="Century Gothic"/>
          <w:vertAlign w:val="superscript"/>
        </w:rPr>
        <w:t>st</w:t>
      </w:r>
      <w:r w:rsidRPr="00584EA6">
        <w:rPr>
          <w:rFonts w:ascii="Century Gothic" w:hAnsi="Century Gothic"/>
        </w:rPr>
        <w:t xml:space="preserve"> </w:t>
      </w:r>
      <w:proofErr w:type="gramStart"/>
      <w:r w:rsidRPr="00584EA6">
        <w:rPr>
          <w:rFonts w:ascii="Century Gothic" w:hAnsi="Century Gothic"/>
        </w:rPr>
        <w:t>May,</w:t>
      </w:r>
      <w:proofErr w:type="gramEnd"/>
      <w:r w:rsidRPr="00584EA6">
        <w:rPr>
          <w:rFonts w:ascii="Century Gothic" w:hAnsi="Century Gothic"/>
        </w:rPr>
        <w:t xml:space="preserve"> 2023</w:t>
      </w:r>
    </w:p>
    <w:p w14:paraId="00000012" w14:textId="0DA2E398" w:rsidR="00982E6A" w:rsidRPr="00584EA6" w:rsidRDefault="7DF33AF4" w:rsidP="00584EA6">
      <w:pPr>
        <w:numPr>
          <w:ilvl w:val="0"/>
          <w:numId w:val="2"/>
        </w:numPr>
        <w:spacing w:line="360" w:lineRule="auto"/>
        <w:rPr>
          <w:rFonts w:ascii="Century Gothic" w:hAnsi="Century Gothic"/>
        </w:rPr>
      </w:pPr>
      <w:r w:rsidRPr="00584EA6">
        <w:rPr>
          <w:rFonts w:ascii="Century Gothic" w:hAnsi="Century Gothic"/>
        </w:rPr>
        <w:t>Notification of acceptance of abstract: 30</w:t>
      </w:r>
      <w:r w:rsidRPr="00584EA6">
        <w:rPr>
          <w:rFonts w:ascii="Century Gothic" w:hAnsi="Century Gothic"/>
          <w:vertAlign w:val="superscript"/>
        </w:rPr>
        <w:t>th</w:t>
      </w:r>
      <w:r w:rsidRPr="00584EA6">
        <w:rPr>
          <w:rFonts w:ascii="Century Gothic" w:hAnsi="Century Gothic"/>
        </w:rPr>
        <w:t xml:space="preserve"> </w:t>
      </w:r>
      <w:proofErr w:type="gramStart"/>
      <w:r w:rsidRPr="00584EA6">
        <w:rPr>
          <w:rFonts w:ascii="Century Gothic" w:hAnsi="Century Gothic"/>
        </w:rPr>
        <w:t>June,</w:t>
      </w:r>
      <w:proofErr w:type="gramEnd"/>
      <w:r w:rsidRPr="00584EA6">
        <w:rPr>
          <w:rFonts w:ascii="Century Gothic" w:hAnsi="Century Gothic"/>
        </w:rPr>
        <w:t xml:space="preserve"> 2023</w:t>
      </w:r>
    </w:p>
    <w:p w14:paraId="00000013" w14:textId="4D7B0EE6" w:rsidR="00982E6A" w:rsidRPr="00584EA6" w:rsidRDefault="7DF33AF4" w:rsidP="00584EA6">
      <w:pPr>
        <w:numPr>
          <w:ilvl w:val="0"/>
          <w:numId w:val="2"/>
        </w:numPr>
        <w:spacing w:after="240" w:line="360" w:lineRule="auto"/>
        <w:rPr>
          <w:rFonts w:ascii="Century Gothic" w:hAnsi="Century Gothic"/>
        </w:rPr>
      </w:pPr>
      <w:r w:rsidRPr="00584EA6">
        <w:rPr>
          <w:rFonts w:ascii="Century Gothic" w:hAnsi="Century Gothic"/>
        </w:rPr>
        <w:t>Full paper submission deadline: 31</w:t>
      </w:r>
      <w:r w:rsidRPr="00584EA6">
        <w:rPr>
          <w:rFonts w:ascii="Century Gothic" w:hAnsi="Century Gothic"/>
          <w:vertAlign w:val="superscript"/>
        </w:rPr>
        <w:t>st</w:t>
      </w:r>
      <w:r w:rsidRPr="00584EA6">
        <w:rPr>
          <w:rFonts w:ascii="Century Gothic" w:hAnsi="Century Gothic"/>
        </w:rPr>
        <w:t xml:space="preserve"> </w:t>
      </w:r>
      <w:proofErr w:type="gramStart"/>
      <w:r w:rsidRPr="00584EA6">
        <w:rPr>
          <w:rFonts w:ascii="Century Gothic" w:hAnsi="Century Gothic"/>
        </w:rPr>
        <w:t>July,</w:t>
      </w:r>
      <w:proofErr w:type="gramEnd"/>
      <w:r w:rsidRPr="00584EA6">
        <w:rPr>
          <w:rFonts w:ascii="Century Gothic" w:hAnsi="Century Gothic"/>
        </w:rPr>
        <w:t xml:space="preserve"> 2023</w:t>
      </w:r>
    </w:p>
    <w:p w14:paraId="3CD41787" w14:textId="0BE61CD6" w:rsidR="006116F6" w:rsidRPr="00584EA6" w:rsidRDefault="7DF33AF4" w:rsidP="00584EA6">
      <w:pPr>
        <w:spacing w:before="240" w:after="240" w:line="360" w:lineRule="auto"/>
        <w:rPr>
          <w:rFonts w:ascii="Century Gothic" w:hAnsi="Century Gothic"/>
        </w:rPr>
      </w:pPr>
      <w:r w:rsidRPr="00584EA6">
        <w:rPr>
          <w:rFonts w:ascii="Century Gothic" w:hAnsi="Century Gothic"/>
        </w:rPr>
        <w:t>Please submit your abstract (up to 300 words) through the journal's online submission system</w:t>
      </w:r>
      <w:r w:rsidR="1338538B" w:rsidRPr="00584EA6">
        <w:rPr>
          <w:rFonts w:ascii="Century Gothic" w:hAnsi="Century Gothic"/>
        </w:rPr>
        <w:t xml:space="preserve">, with Special Issue </w:t>
      </w:r>
      <w:r w:rsidR="006116F6" w:rsidRPr="00584EA6">
        <w:rPr>
          <w:rFonts w:ascii="Century Gothic" w:hAnsi="Century Gothic"/>
        </w:rPr>
        <w:t>in the Title field</w:t>
      </w:r>
      <w:r w:rsidRPr="00584EA6">
        <w:rPr>
          <w:rFonts w:ascii="Century Gothic" w:hAnsi="Century Gothic"/>
        </w:rPr>
        <w:t xml:space="preserve">. </w:t>
      </w:r>
    </w:p>
    <w:p w14:paraId="55165E8F" w14:textId="58597885" w:rsidR="006116F6" w:rsidRPr="00584EA6" w:rsidRDefault="00584EA6" w:rsidP="00584EA6">
      <w:pPr>
        <w:spacing w:before="240" w:after="240" w:line="360" w:lineRule="auto"/>
        <w:rPr>
          <w:rFonts w:ascii="Century Gothic" w:hAnsi="Century Gothic"/>
        </w:rPr>
      </w:pPr>
      <w:hyperlink r:id="rId7" w:history="1">
        <w:r w:rsidR="006116F6" w:rsidRPr="00584EA6">
          <w:rPr>
            <w:rStyle w:val="Hyperlink"/>
            <w:rFonts w:ascii="Century Gothic" w:hAnsi="Century Gothic"/>
          </w:rPr>
          <w:t>https://population.org.nz/online-article-submission/</w:t>
        </w:r>
      </w:hyperlink>
    </w:p>
    <w:p w14:paraId="00000014" w14:textId="25309D7C" w:rsidR="00982E6A" w:rsidRPr="00584EA6" w:rsidRDefault="7DF33AF4" w:rsidP="00584EA6">
      <w:pPr>
        <w:spacing w:before="240" w:after="240" w:line="360" w:lineRule="auto"/>
        <w:rPr>
          <w:rFonts w:ascii="Century Gothic" w:hAnsi="Century Gothic"/>
        </w:rPr>
      </w:pPr>
      <w:r w:rsidRPr="00584EA6">
        <w:rPr>
          <w:rFonts w:ascii="Century Gothic" w:hAnsi="Century Gothic"/>
        </w:rPr>
        <w:t>If you have any questions about the special issue or the submission process, please contact the guest editors:</w:t>
      </w:r>
    </w:p>
    <w:p w14:paraId="00000015" w14:textId="77777777" w:rsidR="00982E6A" w:rsidRPr="00584EA6" w:rsidRDefault="7DF33AF4" w:rsidP="00584EA6">
      <w:pPr>
        <w:spacing w:before="240" w:after="240" w:line="360" w:lineRule="auto"/>
        <w:rPr>
          <w:rFonts w:ascii="Century Gothic" w:hAnsi="Century Gothic"/>
        </w:rPr>
      </w:pPr>
      <w:r w:rsidRPr="00584EA6">
        <w:rPr>
          <w:rFonts w:ascii="Century Gothic" w:hAnsi="Century Gothic"/>
        </w:rPr>
        <w:t>Dr. Jesse Whitehead (</w:t>
      </w:r>
      <w:hyperlink r:id="rId8">
        <w:r w:rsidRPr="00584EA6">
          <w:rPr>
            <w:rFonts w:ascii="Century Gothic" w:hAnsi="Century Gothic"/>
            <w:color w:val="1155CC"/>
            <w:u w:val="single"/>
          </w:rPr>
          <w:t>jesse.whitehead@waikato.ac.nz</w:t>
        </w:r>
      </w:hyperlink>
      <w:r w:rsidRPr="00584EA6">
        <w:rPr>
          <w:rFonts w:ascii="Century Gothic" w:hAnsi="Century Gothic"/>
        </w:rPr>
        <w:t>) and Dr Matt Hobbs (</w:t>
      </w:r>
      <w:hyperlink r:id="rId9">
        <w:r w:rsidRPr="00584EA6">
          <w:rPr>
            <w:rFonts w:ascii="Century Gothic" w:hAnsi="Century Gothic"/>
            <w:color w:val="1155CC"/>
            <w:u w:val="single"/>
          </w:rPr>
          <w:t>matt.hobbs@canterbury.ac.nz</w:t>
        </w:r>
      </w:hyperlink>
      <w:r w:rsidRPr="00584EA6">
        <w:rPr>
          <w:rFonts w:ascii="Century Gothic" w:hAnsi="Century Gothic"/>
        </w:rPr>
        <w:t>)</w:t>
      </w:r>
    </w:p>
    <w:sectPr w:rsidR="00982E6A" w:rsidRPr="00584EA6" w:rsidSect="00584EA6">
      <w:pgSz w:w="12240" w:h="15840"/>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07F"/>
    <w:multiLevelType w:val="multilevel"/>
    <w:tmpl w:val="6BB6A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670699"/>
    <w:multiLevelType w:val="multilevel"/>
    <w:tmpl w:val="8B48B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0861967">
    <w:abstractNumId w:val="1"/>
  </w:num>
  <w:num w:numId="2" w16cid:durableId="79025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6A"/>
    <w:rsid w:val="004212D4"/>
    <w:rsid w:val="00584EA6"/>
    <w:rsid w:val="00587255"/>
    <w:rsid w:val="006116F6"/>
    <w:rsid w:val="006469DB"/>
    <w:rsid w:val="0065153C"/>
    <w:rsid w:val="00982E6A"/>
    <w:rsid w:val="11F356D7"/>
    <w:rsid w:val="122EC6DF"/>
    <w:rsid w:val="1338538B"/>
    <w:rsid w:val="4088B6FD"/>
    <w:rsid w:val="415E82C5"/>
    <w:rsid w:val="41AC1243"/>
    <w:rsid w:val="48FFD421"/>
    <w:rsid w:val="4FC47C9F"/>
    <w:rsid w:val="51A1B89D"/>
    <w:rsid w:val="56CCA232"/>
    <w:rsid w:val="69897035"/>
    <w:rsid w:val="6E43B8FB"/>
    <w:rsid w:val="7A0B9F3E"/>
    <w:rsid w:val="7CC90037"/>
    <w:rsid w:val="7DF33AF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EBD6"/>
  <w15:docId w15:val="{9B4008B5-8B49-4843-904B-EBDD5A56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16F6"/>
    <w:rPr>
      <w:color w:val="0000FF" w:themeColor="hyperlink"/>
      <w:u w:val="single"/>
    </w:rPr>
  </w:style>
  <w:style w:type="character" w:styleId="UnresolvedMention">
    <w:name w:val="Unresolved Mention"/>
    <w:basedOn w:val="DefaultParagraphFont"/>
    <w:uiPriority w:val="99"/>
    <w:semiHidden/>
    <w:unhideWhenUsed/>
    <w:rsid w:val="006116F6"/>
    <w:rPr>
      <w:color w:val="605E5C"/>
      <w:shd w:val="clear" w:color="auto" w:fill="E1DFDD"/>
    </w:rPr>
  </w:style>
  <w:style w:type="character" w:customStyle="1" w:styleId="normaltextrun">
    <w:name w:val="normaltextrun"/>
    <w:basedOn w:val="DefaultParagraphFont"/>
    <w:rsid w:val="006469DB"/>
  </w:style>
  <w:style w:type="paragraph" w:styleId="NoSpacing">
    <w:name w:val="No Spacing"/>
    <w:uiPriority w:val="1"/>
    <w:qFormat/>
    <w:rsid w:val="00584EA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e.whitehead@waikato.ac.nz" TargetMode="External"/><Relationship Id="rId3" Type="http://schemas.openxmlformats.org/officeDocument/2006/relationships/settings" Target="settings.xml"/><Relationship Id="rId7" Type="http://schemas.openxmlformats.org/officeDocument/2006/relationships/hyperlink" Target="https://population.org.nz/online-article-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ulation.org.nz/contributor-instruc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obbs@canterbur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Bryndl Hohmann-Marriott</dc:creator>
  <cp:lastModifiedBy>Shefali Pawar</cp:lastModifiedBy>
  <cp:revision>2</cp:revision>
  <dcterms:created xsi:type="dcterms:W3CDTF">2023-03-30T01:51:00Z</dcterms:created>
  <dcterms:modified xsi:type="dcterms:W3CDTF">2023-03-30T01:51:00Z</dcterms:modified>
</cp:coreProperties>
</file>